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B1" w:rsidRDefault="008770FA" w:rsidP="008770FA">
      <w:pPr>
        <w:spacing w:after="0"/>
        <w:rPr>
          <w:b/>
          <w:bCs/>
        </w:rPr>
      </w:pPr>
      <w:bookmarkStart w:id="0" w:name="_GoBack"/>
      <w:bookmarkEnd w:id="0"/>
      <w:r w:rsidRPr="008770FA">
        <w:rPr>
          <w:b/>
          <w:bCs/>
        </w:rPr>
        <w:t>ttt: Forensische psychiatrie</w:t>
      </w:r>
    </w:p>
    <w:p w:rsidR="008770FA" w:rsidRDefault="008770FA" w:rsidP="008770FA">
      <w:pPr>
        <w:spacing w:after="0"/>
        <w:rPr>
          <w:b/>
          <w:bCs/>
        </w:rPr>
      </w:pPr>
      <w:r>
        <w:rPr>
          <w:b/>
          <w:bCs/>
        </w:rPr>
        <w:t>Doelgroep: ervaren supervisoren</w:t>
      </w:r>
    </w:p>
    <w:p w:rsidR="008770FA" w:rsidRDefault="008770FA" w:rsidP="008770FA">
      <w:pPr>
        <w:spacing w:after="0"/>
        <w:rPr>
          <w:b/>
          <w:bCs/>
        </w:rPr>
      </w:pPr>
      <w:r>
        <w:rPr>
          <w:b/>
          <w:bCs/>
        </w:rPr>
        <w:t>Trainer:    B.J.A. de Leede Onderwijskundige</w:t>
      </w:r>
    </w:p>
    <w:p w:rsidR="008770FA" w:rsidRDefault="008770FA" w:rsidP="008770FA">
      <w:pPr>
        <w:spacing w:after="0"/>
        <w:rPr>
          <w:b/>
          <w:bCs/>
        </w:rPr>
      </w:pPr>
      <w:r>
        <w:rPr>
          <w:b/>
          <w:bCs/>
        </w:rPr>
        <w:t xml:space="preserve">Opleider:  S.J. Roza </w:t>
      </w:r>
    </w:p>
    <w:p w:rsidR="008770FA" w:rsidRDefault="008770FA" w:rsidP="008770FA">
      <w:pPr>
        <w:spacing w:after="0"/>
        <w:rPr>
          <w:b/>
          <w:bCs/>
        </w:rPr>
      </w:pPr>
    </w:p>
    <w:p w:rsidR="008770FA" w:rsidRDefault="008770FA">
      <w:pPr>
        <w:rPr>
          <w:b/>
          <w:bCs/>
        </w:rPr>
      </w:pPr>
    </w:p>
    <w:p w:rsidR="008770FA" w:rsidRDefault="008770FA">
      <w:pPr>
        <w:rPr>
          <w:b/>
          <w:bCs/>
        </w:rPr>
      </w:pPr>
      <w:r w:rsidRPr="008770FA">
        <w:rPr>
          <w:b/>
          <w:bCs/>
        </w:rPr>
        <w:t>Opleiden van aios</w:t>
      </w:r>
      <w:r>
        <w:rPr>
          <w:b/>
          <w:bCs/>
        </w:rPr>
        <w:t xml:space="preserve">, </w:t>
      </w:r>
      <w:r w:rsidR="006A68C0">
        <w:rPr>
          <w:b/>
          <w:bCs/>
        </w:rPr>
        <w:t xml:space="preserve">EPA </w:t>
      </w:r>
      <w:r w:rsidRPr="008770FA">
        <w:rPr>
          <w:b/>
          <w:bCs/>
        </w:rPr>
        <w:t>en bekwaam verklaren</w:t>
      </w:r>
    </w:p>
    <w:p w:rsidR="008770FA" w:rsidRDefault="008770FA" w:rsidP="008770FA">
      <w:pPr>
        <w:spacing w:after="0"/>
        <w:rPr>
          <w:b/>
          <w:bCs/>
        </w:rPr>
      </w:pPr>
      <w:r>
        <w:rPr>
          <w:b/>
          <w:bCs/>
        </w:rPr>
        <w:t>Inleiding</w:t>
      </w:r>
    </w:p>
    <w:p w:rsidR="00E02B0F" w:rsidRDefault="008770FA" w:rsidP="008770FA">
      <w:pPr>
        <w:spacing w:after="0"/>
      </w:pPr>
      <w:r>
        <w:t xml:space="preserve">Binnen de opleiding tot psychiater wordt de EPA-structuur geïmplementeerd Daarbij wordt toegewerkt naar een toenemende mate van zelfstandigheid van de aios door middel van bekwaamverklaringen. In deze training wordt aandacht besteed aan hoe </w:t>
      </w:r>
      <w:r w:rsidR="00E02B0F">
        <w:t xml:space="preserve">binnen de forensische </w:t>
      </w:r>
    </w:p>
    <w:p w:rsidR="008770FA" w:rsidRDefault="00E02B0F" w:rsidP="008770FA">
      <w:pPr>
        <w:spacing w:after="0"/>
      </w:pPr>
      <w:r>
        <w:t xml:space="preserve">zorg </w:t>
      </w:r>
      <w:r w:rsidR="008770FA">
        <w:t xml:space="preserve">aios </w:t>
      </w:r>
      <w:r w:rsidR="00BA1CE6">
        <w:t>op constructieve wijze</w:t>
      </w:r>
      <w:r w:rsidR="008770FA">
        <w:t xml:space="preserve"> </w:t>
      </w:r>
      <w:r>
        <w:t xml:space="preserve">begeleid en gemonitord kunnen </w:t>
      </w:r>
      <w:r w:rsidR="008770FA">
        <w:t xml:space="preserve"> </w:t>
      </w:r>
      <w:r>
        <w:t xml:space="preserve">worden </w:t>
      </w:r>
      <w:r w:rsidR="008770FA">
        <w:t xml:space="preserve">om te komen tot een </w:t>
      </w:r>
      <w:r>
        <w:t>gewogen bekwaamverklaring</w:t>
      </w:r>
      <w:r w:rsidR="008770FA">
        <w:t xml:space="preserve">  </w:t>
      </w:r>
      <w:r>
        <w:t xml:space="preserve">te komen. </w:t>
      </w:r>
    </w:p>
    <w:p w:rsidR="00E02B0F" w:rsidRDefault="00E02B0F" w:rsidP="008770FA">
      <w:pPr>
        <w:spacing w:after="0"/>
      </w:pPr>
    </w:p>
    <w:p w:rsidR="00E02B0F" w:rsidRDefault="00E02B0F" w:rsidP="008770FA">
      <w:pPr>
        <w:spacing w:after="0"/>
      </w:pPr>
      <w:r w:rsidRPr="00BA1CE6">
        <w:rPr>
          <w:b/>
          <w:bCs/>
        </w:rPr>
        <w:t>Doelen</w:t>
      </w:r>
    </w:p>
    <w:p w:rsidR="00E02B0F" w:rsidRDefault="00E02B0F" w:rsidP="008770FA">
      <w:pPr>
        <w:spacing w:after="0"/>
      </w:pPr>
      <w:r>
        <w:t xml:space="preserve">De supervisor </w:t>
      </w:r>
    </w:p>
    <w:p w:rsidR="00E02B0F" w:rsidRDefault="00E02B0F" w:rsidP="00E02B0F">
      <w:pPr>
        <w:pStyle w:val="Lijstalinea"/>
        <w:numPr>
          <w:ilvl w:val="0"/>
          <w:numId w:val="1"/>
        </w:numPr>
        <w:spacing w:after="0"/>
      </w:pPr>
      <w:r>
        <w:t xml:space="preserve">Begrijpt de principes van een EPA (Entrusted </w:t>
      </w:r>
      <w:r w:rsidR="00BA1CE6">
        <w:t>Professional</w:t>
      </w:r>
      <w:r>
        <w:t xml:space="preserve"> Activity)</w:t>
      </w:r>
    </w:p>
    <w:p w:rsidR="000B2A82" w:rsidRDefault="000B2A82" w:rsidP="000B2A82">
      <w:pPr>
        <w:pStyle w:val="Lijstalinea"/>
        <w:numPr>
          <w:ilvl w:val="0"/>
          <w:numId w:val="1"/>
        </w:numPr>
        <w:spacing w:after="0"/>
      </w:pPr>
      <w:r>
        <w:t>Oefent in het monitoren van het niveau van competentie ontwikkeling van de aios</w:t>
      </w:r>
    </w:p>
    <w:p w:rsidR="00B650F0" w:rsidRDefault="00B650F0" w:rsidP="000B2A82">
      <w:pPr>
        <w:pStyle w:val="Lijstalinea"/>
        <w:numPr>
          <w:ilvl w:val="0"/>
          <w:numId w:val="1"/>
        </w:numPr>
        <w:spacing w:after="0"/>
      </w:pPr>
      <w:r>
        <w:t xml:space="preserve">Is zich bewust van de complexiteit van het geven van een toenemende verantwoordelijkheid aan de aios binnen de forensische zorg </w:t>
      </w:r>
    </w:p>
    <w:p w:rsidR="00E02B0F" w:rsidRDefault="000B2A82" w:rsidP="00E02B0F">
      <w:pPr>
        <w:pStyle w:val="Lijstalinea"/>
        <w:numPr>
          <w:ilvl w:val="0"/>
          <w:numId w:val="1"/>
        </w:numPr>
        <w:spacing w:after="0"/>
      </w:pPr>
      <w:r>
        <w:t xml:space="preserve">Krijgt inzicht in de verschillen in manier en mate van begeleiding van aios afhankelijk van de </w:t>
      </w:r>
      <w:r w:rsidR="00232140">
        <w:t>fase</w:t>
      </w:r>
      <w:r>
        <w:t xml:space="preserve"> van zelfstandigheid</w:t>
      </w:r>
      <w:r w:rsidR="00232140">
        <w:t xml:space="preserve"> en </w:t>
      </w:r>
      <w:r w:rsidR="00B650F0">
        <w:t>individuele leerstijl</w:t>
      </w:r>
    </w:p>
    <w:p w:rsidR="00232140" w:rsidRDefault="00232140" w:rsidP="00E02B0F">
      <w:pPr>
        <w:pStyle w:val="Lijstalinea"/>
        <w:numPr>
          <w:ilvl w:val="0"/>
          <w:numId w:val="1"/>
        </w:numPr>
        <w:spacing w:after="0"/>
      </w:pPr>
      <w:r>
        <w:t>Weten hoe ze een aios kunnen toetsen om bij te dragen aan een gewogen bekwaamverk</w:t>
      </w:r>
      <w:r w:rsidR="00B650F0">
        <w:t>la</w:t>
      </w:r>
      <w:r>
        <w:t xml:space="preserve">ring  </w:t>
      </w:r>
    </w:p>
    <w:p w:rsidR="00BA1CE6" w:rsidRDefault="00BA1CE6" w:rsidP="00BA1CE6">
      <w:pPr>
        <w:spacing w:after="0"/>
      </w:pPr>
    </w:p>
    <w:p w:rsidR="00BA1CE6" w:rsidRPr="00A96A90" w:rsidRDefault="00BA1CE6" w:rsidP="00BA1CE6">
      <w:pPr>
        <w:spacing w:after="0" w:line="260" w:lineRule="atLeast"/>
        <w:rPr>
          <w:rFonts w:ascii="Calibri" w:eastAsiaTheme="minorEastAsia" w:hAnsi="Calibri" w:cs="Arial"/>
          <w:b/>
          <w:sz w:val="21"/>
          <w:szCs w:val="21"/>
          <w:lang w:eastAsia="nl-NL"/>
        </w:rPr>
      </w:pPr>
      <w:r>
        <w:rPr>
          <w:rFonts w:ascii="Calibri" w:eastAsiaTheme="minorEastAsia" w:hAnsi="Calibri" w:cs="Arial"/>
          <w:b/>
          <w:sz w:val="21"/>
          <w:szCs w:val="21"/>
          <w:lang w:eastAsia="nl-NL"/>
        </w:rPr>
        <w:t>Werkwijze</w:t>
      </w:r>
    </w:p>
    <w:p w:rsidR="00BA1CE6" w:rsidRPr="00A96A90" w:rsidRDefault="00BA1CE6" w:rsidP="00BA1CE6">
      <w:pPr>
        <w:spacing w:after="0" w:line="260" w:lineRule="atLeast"/>
        <w:rPr>
          <w:rFonts w:ascii="Calibri" w:eastAsiaTheme="minorEastAsia" w:hAnsi="Calibri" w:cs="Arial"/>
          <w:sz w:val="21"/>
          <w:szCs w:val="21"/>
          <w:lang w:eastAsia="nl-NL"/>
        </w:rPr>
      </w:pPr>
      <w:r w:rsidRPr="00A96A90">
        <w:rPr>
          <w:rFonts w:ascii="Calibri" w:eastAsiaTheme="minorEastAsia" w:hAnsi="Calibri" w:cs="Arial"/>
          <w:sz w:val="21"/>
          <w:szCs w:val="21"/>
          <w:lang w:eastAsia="nl-NL"/>
        </w:rPr>
        <w:t xml:space="preserve">Tijdens de training staat actief, ervarend leren centraal. Dit betekent dat </w:t>
      </w:r>
      <w:r>
        <w:rPr>
          <w:rFonts w:ascii="Calibri" w:eastAsiaTheme="minorEastAsia" w:hAnsi="Calibri" w:cs="Arial"/>
          <w:sz w:val="21"/>
          <w:szCs w:val="21"/>
          <w:lang w:eastAsia="nl-NL"/>
        </w:rPr>
        <w:t>supervisoren werken met eigen casuïstiek en er geoefend wordt met aangereikte methodieken</w:t>
      </w:r>
    </w:p>
    <w:p w:rsidR="00BA1CE6" w:rsidRPr="00A96A90" w:rsidRDefault="00BA1CE6" w:rsidP="00BA1CE6">
      <w:pPr>
        <w:spacing w:after="0" w:line="260" w:lineRule="atLeast"/>
        <w:rPr>
          <w:rFonts w:ascii="Calibri" w:eastAsiaTheme="minorEastAsia" w:hAnsi="Calibri" w:cs="Arial"/>
          <w:i/>
          <w:iCs/>
          <w:sz w:val="21"/>
          <w:szCs w:val="21"/>
          <w:lang w:eastAsia="nl-NL"/>
        </w:rPr>
      </w:pPr>
    </w:p>
    <w:p w:rsidR="00BA1CE6" w:rsidRPr="00A96A90" w:rsidRDefault="00BA1CE6" w:rsidP="00BA1CE6">
      <w:pPr>
        <w:spacing w:after="0" w:line="260" w:lineRule="atLeast"/>
        <w:rPr>
          <w:rFonts w:ascii="Calibri" w:eastAsiaTheme="minorEastAsia" w:hAnsi="Calibri" w:cs="Arial"/>
          <w:b/>
          <w:iCs/>
          <w:sz w:val="21"/>
          <w:szCs w:val="21"/>
          <w:lang w:eastAsia="nl-NL"/>
        </w:rPr>
      </w:pPr>
    </w:p>
    <w:p w:rsidR="00BA1CE6" w:rsidRDefault="00BA1CE6" w:rsidP="00BA1CE6">
      <w:pPr>
        <w:rPr>
          <w:rFonts w:ascii="Calibri" w:eastAsiaTheme="minorEastAsia" w:hAnsi="Calibri" w:cs="Arial"/>
          <w:b/>
          <w:iCs/>
          <w:sz w:val="21"/>
          <w:szCs w:val="21"/>
          <w:lang w:eastAsia="nl-NL"/>
        </w:rPr>
      </w:pPr>
      <w:r>
        <w:rPr>
          <w:rFonts w:ascii="Calibri" w:eastAsiaTheme="minorEastAsia" w:hAnsi="Calibri" w:cs="Arial"/>
          <w:b/>
          <w:iCs/>
          <w:sz w:val="21"/>
          <w:szCs w:val="21"/>
          <w:lang w:eastAsia="nl-NL"/>
        </w:rPr>
        <w:br w:type="page"/>
      </w:r>
    </w:p>
    <w:p w:rsidR="00BA1CE6" w:rsidRPr="00A96A90" w:rsidRDefault="00BA1CE6" w:rsidP="00BA1CE6">
      <w:pPr>
        <w:spacing w:after="0" w:line="260" w:lineRule="atLeast"/>
        <w:rPr>
          <w:rFonts w:ascii="Calibri" w:eastAsiaTheme="minorEastAsia" w:hAnsi="Calibri" w:cs="Arial"/>
          <w:b/>
          <w:iCs/>
          <w:sz w:val="21"/>
          <w:szCs w:val="21"/>
          <w:lang w:eastAsia="nl-NL"/>
        </w:rPr>
      </w:pPr>
      <w:r w:rsidRPr="00A96A90">
        <w:rPr>
          <w:rFonts w:ascii="Calibri" w:eastAsiaTheme="minorEastAsia" w:hAnsi="Calibri" w:cs="Arial"/>
          <w:b/>
          <w:iCs/>
          <w:sz w:val="21"/>
          <w:szCs w:val="21"/>
          <w:lang w:eastAsia="nl-NL"/>
        </w:rPr>
        <w:lastRenderedPageBreak/>
        <w:t>Draaiboek</w:t>
      </w:r>
    </w:p>
    <w:p w:rsidR="00BA1CE6" w:rsidRPr="00A96A90" w:rsidRDefault="00BA1CE6" w:rsidP="00BA1CE6">
      <w:pPr>
        <w:spacing w:after="0" w:line="260" w:lineRule="atLeast"/>
        <w:rPr>
          <w:rFonts w:ascii="Calibri" w:eastAsiaTheme="minorEastAsia" w:hAnsi="Calibri" w:cs="Arial"/>
          <w:iCs/>
          <w:sz w:val="21"/>
          <w:szCs w:val="21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7"/>
        <w:gridCol w:w="3006"/>
        <w:gridCol w:w="2718"/>
        <w:gridCol w:w="2351"/>
      </w:tblGrid>
      <w:tr w:rsidR="00BA1CE6" w:rsidRPr="00A96A90" w:rsidTr="0092426D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E6" w:rsidRPr="00A96A90" w:rsidRDefault="00BA1CE6" w:rsidP="0092426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96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E6" w:rsidRPr="00A96A90" w:rsidRDefault="00BA1CE6" w:rsidP="0092426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96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Onderwerp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E6" w:rsidRPr="00A96A90" w:rsidRDefault="00BA1CE6" w:rsidP="0092426D">
            <w:pPr>
              <w:tabs>
                <w:tab w:val="num" w:pos="340"/>
                <w:tab w:val="center" w:pos="4513"/>
                <w:tab w:val="right" w:pos="9026"/>
              </w:tabs>
              <w:ind w:left="340" w:hanging="34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6A90">
              <w:rPr>
                <w:rFonts w:ascii="Arial" w:eastAsia="Calibri" w:hAnsi="Arial" w:cs="Arial"/>
                <w:b/>
                <w:sz w:val="20"/>
                <w:szCs w:val="20"/>
              </w:rPr>
              <w:t>Inhoud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E6" w:rsidRPr="00A96A90" w:rsidRDefault="00BA1CE6" w:rsidP="0092426D">
            <w:pPr>
              <w:tabs>
                <w:tab w:val="num" w:pos="340"/>
                <w:tab w:val="left" w:pos="3048"/>
              </w:tabs>
              <w:ind w:left="340" w:hanging="340"/>
              <w:rPr>
                <w:rFonts w:ascii="Arial" w:eastAsiaTheme="minorEastAsia" w:hAnsi="Arial" w:cs="Arial"/>
                <w:b/>
                <w:sz w:val="20"/>
                <w:szCs w:val="20"/>
                <w:lang w:eastAsia="nl-NL"/>
              </w:rPr>
            </w:pPr>
            <w:r w:rsidRPr="00A96A90">
              <w:rPr>
                <w:rFonts w:ascii="Arial" w:eastAsiaTheme="minorEastAsia" w:hAnsi="Arial" w:cs="Arial"/>
                <w:b/>
                <w:sz w:val="20"/>
                <w:szCs w:val="20"/>
                <w:lang w:eastAsia="nl-NL"/>
              </w:rPr>
              <w:t>Vorm/Benodigdheden</w:t>
            </w:r>
          </w:p>
        </w:tc>
      </w:tr>
      <w:tr w:rsidR="00BA1CE6" w:rsidRPr="00A96A90" w:rsidTr="0092426D">
        <w:tc>
          <w:tcPr>
            <w:tcW w:w="987" w:type="dxa"/>
          </w:tcPr>
          <w:p w:rsidR="00BA1CE6" w:rsidRPr="00A96A90" w:rsidRDefault="00BA1CE6" w:rsidP="0092426D">
            <w:pPr>
              <w:rPr>
                <w:rFonts w:eastAsiaTheme="minorEastAsia"/>
                <w:sz w:val="24"/>
                <w:szCs w:val="24"/>
                <w:lang w:eastAsia="nl-NL"/>
              </w:rPr>
            </w:pPr>
            <w:r w:rsidRPr="00A96A90">
              <w:rPr>
                <w:rFonts w:eastAsiaTheme="minorEastAsia"/>
                <w:sz w:val="24"/>
                <w:szCs w:val="24"/>
                <w:lang w:eastAsia="nl-NL"/>
              </w:rPr>
              <w:t>13.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3006" w:type="dxa"/>
          </w:tcPr>
          <w:p w:rsidR="00BA1CE6" w:rsidRPr="00A96A90" w:rsidRDefault="00BA1CE6" w:rsidP="0092426D">
            <w:pPr>
              <w:rPr>
                <w:rFonts w:eastAsiaTheme="minorEastAsia"/>
                <w:sz w:val="24"/>
                <w:szCs w:val="24"/>
                <w:lang w:eastAsia="nl-NL"/>
              </w:rPr>
            </w:pPr>
            <w:r w:rsidRPr="00A96A90">
              <w:rPr>
                <w:rFonts w:eastAsiaTheme="minorEastAsia"/>
                <w:sz w:val="24"/>
                <w:szCs w:val="24"/>
                <w:lang w:eastAsia="nl-NL"/>
              </w:rPr>
              <w:t>Inleiding, programma, voorstellen</w:t>
            </w:r>
          </w:p>
        </w:tc>
        <w:tc>
          <w:tcPr>
            <w:tcW w:w="2718" w:type="dxa"/>
          </w:tcPr>
          <w:p w:rsidR="00BA1CE6" w:rsidRPr="00A96A90" w:rsidRDefault="00BA1CE6" w:rsidP="0092426D">
            <w:pPr>
              <w:rPr>
                <w:rFonts w:eastAsiaTheme="minorEastAsia"/>
                <w:sz w:val="24"/>
                <w:szCs w:val="24"/>
                <w:lang w:eastAsia="nl-NL"/>
              </w:rPr>
            </w:pPr>
            <w:r w:rsidRPr="00A96A90">
              <w:rPr>
                <w:rFonts w:eastAsiaTheme="minorEastAsia"/>
                <w:sz w:val="24"/>
                <w:szCs w:val="24"/>
                <w:lang w:eastAsia="nl-NL"/>
              </w:rPr>
              <w:t xml:space="preserve">Doelen en verwachtingen </w:t>
            </w:r>
          </w:p>
        </w:tc>
        <w:tc>
          <w:tcPr>
            <w:tcW w:w="2351" w:type="dxa"/>
          </w:tcPr>
          <w:p w:rsidR="00BA1CE6" w:rsidRPr="00A96A90" w:rsidRDefault="00BA1CE6" w:rsidP="0092426D">
            <w:pPr>
              <w:rPr>
                <w:rFonts w:eastAsiaTheme="minorEastAsia"/>
                <w:sz w:val="24"/>
                <w:szCs w:val="24"/>
                <w:lang w:eastAsia="nl-NL"/>
              </w:rPr>
            </w:pPr>
            <w:r w:rsidRPr="00A96A90">
              <w:rPr>
                <w:rFonts w:eastAsiaTheme="minorEastAsia"/>
                <w:sz w:val="24"/>
                <w:szCs w:val="24"/>
                <w:lang w:eastAsia="nl-NL"/>
              </w:rPr>
              <w:t>Flap-over</w:t>
            </w:r>
          </w:p>
        </w:tc>
      </w:tr>
      <w:tr w:rsidR="00BA1CE6" w:rsidRPr="00A96A90" w:rsidTr="0092426D">
        <w:tc>
          <w:tcPr>
            <w:tcW w:w="987" w:type="dxa"/>
          </w:tcPr>
          <w:p w:rsidR="00BA1CE6" w:rsidRPr="00A96A90" w:rsidRDefault="00BA1CE6" w:rsidP="0092426D">
            <w:pPr>
              <w:rPr>
                <w:rFonts w:eastAsiaTheme="minorEastAsia"/>
                <w:sz w:val="24"/>
                <w:szCs w:val="24"/>
                <w:lang w:eastAsia="nl-NL"/>
              </w:rPr>
            </w:pPr>
            <w:r w:rsidRPr="00A96A90">
              <w:rPr>
                <w:rFonts w:eastAsiaTheme="minorEastAsia"/>
                <w:sz w:val="24"/>
                <w:szCs w:val="24"/>
                <w:lang w:eastAsia="nl-NL"/>
              </w:rPr>
              <w:t>13.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>40</w:t>
            </w:r>
          </w:p>
        </w:tc>
        <w:tc>
          <w:tcPr>
            <w:tcW w:w="3006" w:type="dxa"/>
          </w:tcPr>
          <w:p w:rsidR="00BA1CE6" w:rsidRPr="00A96A90" w:rsidRDefault="00BA1CE6" w:rsidP="0092426D">
            <w:pPr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Principes van EPA’s en bekwaamverklaringen</w:t>
            </w:r>
          </w:p>
        </w:tc>
        <w:tc>
          <w:tcPr>
            <w:tcW w:w="2718" w:type="dxa"/>
          </w:tcPr>
          <w:p w:rsidR="00BA1CE6" w:rsidRPr="00A96A90" w:rsidRDefault="00BA1CE6" w:rsidP="0092426D">
            <w:pPr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Korte toelichting wat EPA’s zijn, EPA’s binnen de medische context </w:t>
            </w:r>
          </w:p>
        </w:tc>
        <w:tc>
          <w:tcPr>
            <w:tcW w:w="2351" w:type="dxa"/>
          </w:tcPr>
          <w:p w:rsidR="00BA1CE6" w:rsidRPr="00A96A90" w:rsidRDefault="00BA1CE6" w:rsidP="0092426D">
            <w:pPr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PP en onderwijsleergesprek</w:t>
            </w:r>
          </w:p>
        </w:tc>
      </w:tr>
      <w:tr w:rsidR="00BA1CE6" w:rsidRPr="00A96A90" w:rsidTr="0092426D">
        <w:tc>
          <w:tcPr>
            <w:tcW w:w="987" w:type="dxa"/>
          </w:tcPr>
          <w:p w:rsidR="00BA1CE6" w:rsidRPr="00A96A90" w:rsidRDefault="00BA1CE6" w:rsidP="0092426D">
            <w:pPr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14.00</w:t>
            </w:r>
          </w:p>
        </w:tc>
        <w:tc>
          <w:tcPr>
            <w:tcW w:w="3006" w:type="dxa"/>
          </w:tcPr>
          <w:p w:rsidR="00BA1CE6" w:rsidRPr="00A96A90" w:rsidRDefault="00BA1CE6" w:rsidP="0092426D">
            <w:pPr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Inschatten competentieniveau</w:t>
            </w:r>
          </w:p>
        </w:tc>
        <w:tc>
          <w:tcPr>
            <w:tcW w:w="2718" w:type="dxa"/>
          </w:tcPr>
          <w:p w:rsidR="00BA1CE6" w:rsidRPr="00A96A90" w:rsidRDefault="00BA1CE6" w:rsidP="0092426D">
            <w:pPr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Toelichting op hanteren meetlatten (Canmeds,</w:t>
            </w:r>
            <w:r w:rsidR="003D03AB">
              <w:rPr>
                <w:rFonts w:eastAsiaTheme="minorEastAsia"/>
                <w:sz w:val="24"/>
                <w:szCs w:val="24"/>
                <w:lang w:eastAsia="nl-NL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>eigen  en forensisch)</w:t>
            </w:r>
            <w:r w:rsidR="003D03AB">
              <w:rPr>
                <w:rFonts w:eastAsiaTheme="minorEastAsia"/>
                <w:sz w:val="24"/>
                <w:szCs w:val="24"/>
                <w:lang w:eastAsia="nl-NL"/>
              </w:rPr>
              <w:t xml:space="preserve">, nadenken over startniveau aios </w:t>
            </w:r>
          </w:p>
        </w:tc>
        <w:tc>
          <w:tcPr>
            <w:tcW w:w="2351" w:type="dxa"/>
          </w:tcPr>
          <w:p w:rsidR="00BA1CE6" w:rsidRPr="00A96A90" w:rsidRDefault="00BA1CE6" w:rsidP="0092426D">
            <w:pPr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PP en casuïstiek</w:t>
            </w:r>
          </w:p>
        </w:tc>
      </w:tr>
      <w:tr w:rsidR="00BA1CE6" w:rsidRPr="00A96A90" w:rsidTr="0092426D">
        <w:tc>
          <w:tcPr>
            <w:tcW w:w="987" w:type="dxa"/>
          </w:tcPr>
          <w:p w:rsidR="00BA1CE6" w:rsidRPr="00A96A90" w:rsidRDefault="00BA1CE6" w:rsidP="0092426D">
            <w:pPr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14.45</w:t>
            </w:r>
          </w:p>
        </w:tc>
        <w:tc>
          <w:tcPr>
            <w:tcW w:w="3006" w:type="dxa"/>
          </w:tcPr>
          <w:p w:rsidR="00BA1CE6" w:rsidRPr="00A96A90" w:rsidRDefault="003D03AB" w:rsidP="0092426D">
            <w:pPr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(delen) van EPA’s binnen de forensische  zorg</w:t>
            </w:r>
          </w:p>
        </w:tc>
        <w:tc>
          <w:tcPr>
            <w:tcW w:w="2718" w:type="dxa"/>
          </w:tcPr>
          <w:p w:rsidR="00BA1CE6" w:rsidRPr="00A96A90" w:rsidRDefault="003D03AB" w:rsidP="0092426D">
            <w:pPr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Onderzoeken welke leer- en werkactiviteiten van belang zijn voor aios en waarin  een groei in zelfstandigheid mogelijk is</w:t>
            </w:r>
          </w:p>
        </w:tc>
        <w:tc>
          <w:tcPr>
            <w:tcW w:w="2351" w:type="dxa"/>
          </w:tcPr>
          <w:p w:rsidR="00BA1CE6" w:rsidRPr="00A96A90" w:rsidRDefault="003D03AB" w:rsidP="0092426D">
            <w:pPr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Onderwijsleergesprek en inventarisatie op flap</w:t>
            </w:r>
          </w:p>
        </w:tc>
      </w:tr>
      <w:tr w:rsidR="00BA1CE6" w:rsidRPr="00A96A90" w:rsidTr="0092426D">
        <w:tc>
          <w:tcPr>
            <w:tcW w:w="987" w:type="dxa"/>
          </w:tcPr>
          <w:p w:rsidR="00BA1CE6" w:rsidRPr="00A96A90" w:rsidRDefault="00BA1CE6" w:rsidP="0092426D">
            <w:pPr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15.00</w:t>
            </w:r>
          </w:p>
        </w:tc>
        <w:tc>
          <w:tcPr>
            <w:tcW w:w="3006" w:type="dxa"/>
          </w:tcPr>
          <w:p w:rsidR="00BA1CE6" w:rsidRPr="00A96A90" w:rsidRDefault="00BA1CE6" w:rsidP="0092426D">
            <w:pPr>
              <w:rPr>
                <w:rFonts w:eastAsiaTheme="minorEastAsia"/>
                <w:sz w:val="24"/>
                <w:szCs w:val="24"/>
                <w:lang w:eastAsia="nl-NL"/>
              </w:rPr>
            </w:pPr>
            <w:r w:rsidRPr="00A96A90">
              <w:rPr>
                <w:rFonts w:eastAsiaTheme="minorEastAsia"/>
                <w:sz w:val="24"/>
                <w:szCs w:val="24"/>
                <w:lang w:eastAsia="nl-NL"/>
              </w:rPr>
              <w:t>Pauze</w:t>
            </w:r>
          </w:p>
        </w:tc>
        <w:tc>
          <w:tcPr>
            <w:tcW w:w="2718" w:type="dxa"/>
          </w:tcPr>
          <w:p w:rsidR="00BA1CE6" w:rsidRPr="00A96A90" w:rsidRDefault="00BA1CE6" w:rsidP="0092426D">
            <w:pPr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  <w:tc>
          <w:tcPr>
            <w:tcW w:w="2351" w:type="dxa"/>
          </w:tcPr>
          <w:p w:rsidR="00BA1CE6" w:rsidRPr="00A96A90" w:rsidRDefault="00BA1CE6" w:rsidP="0092426D">
            <w:pPr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BA1CE6" w:rsidRPr="00A96A90" w:rsidTr="0092426D">
        <w:tc>
          <w:tcPr>
            <w:tcW w:w="987" w:type="dxa"/>
          </w:tcPr>
          <w:p w:rsidR="00BA1CE6" w:rsidRPr="00A96A90" w:rsidRDefault="003D03AB" w:rsidP="0092426D">
            <w:pPr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15.15</w:t>
            </w:r>
          </w:p>
        </w:tc>
        <w:tc>
          <w:tcPr>
            <w:tcW w:w="3006" w:type="dxa"/>
          </w:tcPr>
          <w:p w:rsidR="00BA1CE6" w:rsidRPr="00A96A90" w:rsidRDefault="003D03AB" w:rsidP="003D03AB">
            <w:pPr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Van strakke sturing naar loslaten</w:t>
            </w:r>
          </w:p>
        </w:tc>
        <w:tc>
          <w:tcPr>
            <w:tcW w:w="2718" w:type="dxa"/>
          </w:tcPr>
          <w:p w:rsidR="00BA1CE6" w:rsidRPr="00A96A90" w:rsidRDefault="003D03AB" w:rsidP="0092426D">
            <w:pPr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Deelnemers reflecteren op eigen voorkeur in mate van sturing bij superviseren aios en formuleren hier eigen aandachtspunt</w:t>
            </w:r>
          </w:p>
        </w:tc>
        <w:tc>
          <w:tcPr>
            <w:tcW w:w="2351" w:type="dxa"/>
          </w:tcPr>
          <w:p w:rsidR="00BA1CE6" w:rsidRDefault="003D03AB" w:rsidP="0092426D">
            <w:pPr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PP en discussie in 4 tallen</w:t>
            </w:r>
          </w:p>
          <w:p w:rsidR="003D03AB" w:rsidRPr="00A96A90" w:rsidRDefault="003D03AB" w:rsidP="0092426D">
            <w:pPr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Noteren op flap aandachtspunt</w:t>
            </w:r>
          </w:p>
        </w:tc>
      </w:tr>
      <w:tr w:rsidR="003D03AB" w:rsidRPr="00A96A90" w:rsidTr="0092426D">
        <w:tc>
          <w:tcPr>
            <w:tcW w:w="987" w:type="dxa"/>
          </w:tcPr>
          <w:p w:rsidR="003D03AB" w:rsidRPr="00A96A90" w:rsidRDefault="00111544" w:rsidP="003D03AB">
            <w:pPr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15.45</w:t>
            </w:r>
          </w:p>
        </w:tc>
        <w:tc>
          <w:tcPr>
            <w:tcW w:w="3006" w:type="dxa"/>
          </w:tcPr>
          <w:p w:rsidR="003D03AB" w:rsidRPr="003D03AB" w:rsidRDefault="003D03AB" w:rsidP="003D03AB">
            <w:pPr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Bekwaam verklaren </w:t>
            </w:r>
          </w:p>
          <w:p w:rsidR="003D03AB" w:rsidRPr="003D03AB" w:rsidRDefault="003D03AB" w:rsidP="003D03AB">
            <w:pPr>
              <w:rPr>
                <w:rFonts w:eastAsiaTheme="minorEastAsia"/>
                <w:sz w:val="24"/>
                <w:szCs w:val="24"/>
                <w:lang w:eastAsia="nl-NL"/>
              </w:rPr>
            </w:pPr>
          </w:p>
          <w:p w:rsidR="003D03AB" w:rsidRPr="00A96A90" w:rsidRDefault="003D03AB" w:rsidP="003D03AB">
            <w:pPr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  <w:tc>
          <w:tcPr>
            <w:tcW w:w="2718" w:type="dxa"/>
          </w:tcPr>
          <w:p w:rsidR="003D03AB" w:rsidRPr="00A96A90" w:rsidRDefault="003D03AB" w:rsidP="003D03AB">
            <w:pPr>
              <w:rPr>
                <w:rFonts w:eastAsiaTheme="minorEastAsia"/>
                <w:sz w:val="24"/>
                <w:szCs w:val="24"/>
                <w:lang w:eastAsia="nl-NL"/>
              </w:rPr>
            </w:pPr>
            <w:r w:rsidRPr="003D03AB">
              <w:rPr>
                <w:rFonts w:eastAsiaTheme="minorEastAsia"/>
                <w:sz w:val="24"/>
                <w:szCs w:val="24"/>
                <w:lang w:eastAsia="nl-NL"/>
              </w:rPr>
              <w:t>Deelnemers kennen achterliggende theorie bekwaam verklaren, kennen het begrip OOG en de doelstellingen van een OOG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>. Bedenken met elkaar welke input vanuit aios en vanuit supervisoren nodig is om een gewogen oordeel te kunnen geven</w:t>
            </w:r>
          </w:p>
        </w:tc>
        <w:tc>
          <w:tcPr>
            <w:tcW w:w="2351" w:type="dxa"/>
          </w:tcPr>
          <w:p w:rsidR="003D03AB" w:rsidRPr="00A96A90" w:rsidRDefault="003D03AB" w:rsidP="003D03AB">
            <w:pPr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PP en discussie met eigen casuïstiek</w:t>
            </w:r>
          </w:p>
        </w:tc>
      </w:tr>
      <w:tr w:rsidR="003D03AB" w:rsidRPr="00A96A90" w:rsidTr="0092426D">
        <w:tc>
          <w:tcPr>
            <w:tcW w:w="987" w:type="dxa"/>
          </w:tcPr>
          <w:p w:rsidR="003D03AB" w:rsidRPr="00A96A90" w:rsidRDefault="00111544" w:rsidP="003D03AB">
            <w:pPr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16.15</w:t>
            </w:r>
          </w:p>
        </w:tc>
        <w:tc>
          <w:tcPr>
            <w:tcW w:w="3006" w:type="dxa"/>
          </w:tcPr>
          <w:p w:rsidR="003D03AB" w:rsidRDefault="00111544" w:rsidP="003D03AB">
            <w:pPr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Bekwaam verklaren binnen forensisch</w:t>
            </w:r>
          </w:p>
        </w:tc>
        <w:tc>
          <w:tcPr>
            <w:tcW w:w="2718" w:type="dxa"/>
          </w:tcPr>
          <w:p w:rsidR="003D03AB" w:rsidRDefault="00111544" w:rsidP="003D03AB">
            <w:pPr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Discussie over aandachtspunten en keuzes </w:t>
            </w:r>
          </w:p>
        </w:tc>
        <w:tc>
          <w:tcPr>
            <w:tcW w:w="2351" w:type="dxa"/>
          </w:tcPr>
          <w:p w:rsidR="003D03AB" w:rsidRDefault="003D03AB" w:rsidP="003D03AB">
            <w:pPr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3D03AB" w:rsidRPr="00A96A90" w:rsidTr="0092426D">
        <w:tc>
          <w:tcPr>
            <w:tcW w:w="987" w:type="dxa"/>
          </w:tcPr>
          <w:p w:rsidR="003D03AB" w:rsidRPr="00A96A90" w:rsidRDefault="003D03AB" w:rsidP="003D03AB">
            <w:pPr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16.45</w:t>
            </w:r>
          </w:p>
        </w:tc>
        <w:tc>
          <w:tcPr>
            <w:tcW w:w="3006" w:type="dxa"/>
          </w:tcPr>
          <w:p w:rsidR="003D03AB" w:rsidRDefault="00111544" w:rsidP="003D03AB">
            <w:pPr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Afronding en evaluatie</w:t>
            </w:r>
          </w:p>
        </w:tc>
        <w:tc>
          <w:tcPr>
            <w:tcW w:w="2718" w:type="dxa"/>
          </w:tcPr>
          <w:p w:rsidR="003D03AB" w:rsidRDefault="003D03AB" w:rsidP="003D03AB">
            <w:pPr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  <w:tc>
          <w:tcPr>
            <w:tcW w:w="2351" w:type="dxa"/>
          </w:tcPr>
          <w:p w:rsidR="003D03AB" w:rsidRDefault="00111544" w:rsidP="003D03AB">
            <w:pPr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formulieren</w:t>
            </w:r>
          </w:p>
        </w:tc>
      </w:tr>
    </w:tbl>
    <w:p w:rsidR="00BA1CE6" w:rsidRDefault="00BA1CE6" w:rsidP="00BA1CE6"/>
    <w:p w:rsidR="00BA1CE6" w:rsidRDefault="00BA1CE6" w:rsidP="00BA1CE6"/>
    <w:p w:rsidR="00BA1CE6" w:rsidRPr="008770FA" w:rsidRDefault="00BA1CE6" w:rsidP="00BA1CE6">
      <w:pPr>
        <w:spacing w:after="0"/>
      </w:pPr>
    </w:p>
    <w:sectPr w:rsidR="00BA1CE6" w:rsidRPr="0087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B19"/>
    <w:multiLevelType w:val="hybridMultilevel"/>
    <w:tmpl w:val="171CFAAA"/>
    <w:lvl w:ilvl="0" w:tplc="44B401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30300"/>
    <w:multiLevelType w:val="hybridMultilevel"/>
    <w:tmpl w:val="798C6A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FA"/>
    <w:rsid w:val="000B2A82"/>
    <w:rsid w:val="00111544"/>
    <w:rsid w:val="00232140"/>
    <w:rsid w:val="003D03AB"/>
    <w:rsid w:val="006A68C0"/>
    <w:rsid w:val="00732AF8"/>
    <w:rsid w:val="008035B1"/>
    <w:rsid w:val="008770FA"/>
    <w:rsid w:val="00B650F0"/>
    <w:rsid w:val="00BA1CE6"/>
    <w:rsid w:val="00E0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02B0F"/>
    <w:pPr>
      <w:ind w:left="720"/>
      <w:contextualSpacing/>
    </w:pPr>
  </w:style>
  <w:style w:type="table" w:styleId="Tabelraster">
    <w:name w:val="Table Grid"/>
    <w:basedOn w:val="Standaardtabel"/>
    <w:uiPriority w:val="39"/>
    <w:rsid w:val="00BA1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02B0F"/>
    <w:pPr>
      <w:ind w:left="720"/>
      <w:contextualSpacing/>
    </w:pPr>
  </w:style>
  <w:style w:type="table" w:styleId="Tabelraster">
    <w:name w:val="Table Grid"/>
    <w:basedOn w:val="Standaardtabel"/>
    <w:uiPriority w:val="39"/>
    <w:rsid w:val="00BA1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47D33ADB</Template>
  <TotalTime>0</TotalTime>
  <Pages>2</Pages>
  <Words>400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Beatrijs</dc:creator>
  <cp:lastModifiedBy>Balen, van, Josée</cp:lastModifiedBy>
  <cp:revision>2</cp:revision>
  <dcterms:created xsi:type="dcterms:W3CDTF">2019-09-02T11:18:00Z</dcterms:created>
  <dcterms:modified xsi:type="dcterms:W3CDTF">2019-09-02T11:18:00Z</dcterms:modified>
</cp:coreProperties>
</file>